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47" w:rsidRDefault="00B27C47" w:rsidP="00B27C47">
      <w:pPr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B27C47" w:rsidRDefault="00B27C47" w:rsidP="00B27C47">
      <w:pPr>
        <w:rPr>
          <w:rFonts w:hint="eastAsia"/>
          <w:szCs w:val="32"/>
        </w:rPr>
      </w:pPr>
    </w:p>
    <w:p w:rsidR="00B27C47" w:rsidRDefault="00B27C47" w:rsidP="00B27C47">
      <w:pPr>
        <w:spacing w:line="600" w:lineRule="exact"/>
        <w:jc w:val="center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职业技能等级认定机构质量管理评估表</w:t>
      </w:r>
    </w:p>
    <w:p w:rsidR="00B27C47" w:rsidRDefault="00B27C47" w:rsidP="00B27C47">
      <w:pPr>
        <w:rPr>
          <w:rFonts w:hint="eastAsia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65"/>
        <w:gridCol w:w="2814"/>
        <w:gridCol w:w="712"/>
        <w:gridCol w:w="3717"/>
        <w:gridCol w:w="688"/>
      </w:tblGrid>
      <w:tr w:rsidR="00B27C47" w:rsidTr="001B750C">
        <w:trPr>
          <w:trHeight w:val="464"/>
          <w:jc w:val="center"/>
        </w:trPr>
        <w:tc>
          <w:tcPr>
            <w:tcW w:w="4887" w:type="dxa"/>
            <w:gridSpan w:val="3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评估内容</w:t>
            </w:r>
          </w:p>
        </w:tc>
        <w:tc>
          <w:tcPr>
            <w:tcW w:w="712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分值</w:t>
            </w:r>
          </w:p>
        </w:tc>
        <w:tc>
          <w:tcPr>
            <w:tcW w:w="3717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评估方法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和标准</w:t>
            </w:r>
          </w:p>
        </w:tc>
        <w:tc>
          <w:tcPr>
            <w:tcW w:w="68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结果</w:t>
            </w:r>
          </w:p>
        </w:tc>
      </w:tr>
      <w:tr w:rsidR="00B27C47" w:rsidTr="001B750C">
        <w:trPr>
          <w:trHeight w:val="421"/>
          <w:jc w:val="center"/>
        </w:trPr>
        <w:tc>
          <w:tcPr>
            <w:tcW w:w="100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大项</w:t>
            </w: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中项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小  项</w:t>
            </w:r>
          </w:p>
        </w:tc>
        <w:tc>
          <w:tcPr>
            <w:tcW w:w="712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717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27C47" w:rsidTr="001B750C">
        <w:trPr>
          <w:trHeight w:val="1512"/>
          <w:jc w:val="center"/>
        </w:trPr>
        <w:tc>
          <w:tcPr>
            <w:tcW w:w="100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1.场地、设施设备建设情况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（30分）</w:t>
            </w: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1.1场地面积情况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自主认定机构是否有专门的认定场所；社会培训评价组织场地面积是否达到1000平米以上。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现场查看场地情况，查阅场地租赁合同、产权证明等了解场所面积。由专家综合分析判断得分情况，社会培训评价组织场地面积未达到1000平米以上不得分。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707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1.2考场信息化建设情况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配备无死角的监控设备，实现考场实时监控；配有考生身份自动识别认证系统，具有考生身份信息、学历信息等报名材料的自动比对功能。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配备无死角的监控设备，能实现考场实时监控的2分；配有考生身份自动识别认证系统的得1分；具有考生身份信息、学历信息等报名材料的自动比对功能的得2分。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092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1.3数字化理论考场建设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建设有标准化的理论考试机房，具备互联网+职业技能等级认定的条件。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配备2个以上标准化的理论考试机房得5分，未配备或发现其他问题的不得分。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078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1.4考场配置情况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配有考务室、保密室、试卷回收室等必要场所。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实地查看考场配置情况，均配置健全的得5分，配置混乱或发现其他问题的酌情扣分，未配置的不得分。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232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1.5实操考核设施设备情况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实操考核设施设备的型号、数量符合国家职业技能标准的要求。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实操考核设施设备的型号符合国家职业技能标准的得5分；实操考核工位数能同时满足10人以上的得3分。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362"/>
          <w:jc w:val="center"/>
        </w:trPr>
        <w:tc>
          <w:tcPr>
            <w:tcW w:w="100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2.制度建设和执行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（30分）</w:t>
            </w:r>
          </w:p>
        </w:tc>
        <w:tc>
          <w:tcPr>
            <w:tcW w:w="1065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2.1制度建设情况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具有清晰的岗位职责分工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717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查阅文件，查看现场布置，发现问题的逐一扣减直至不得分。</w:t>
            </w:r>
          </w:p>
        </w:tc>
        <w:tc>
          <w:tcPr>
            <w:tcW w:w="68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382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具有考务管理制度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717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427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具有质量管控制度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717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387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具有证书管理制度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717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427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具有财务管理制度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717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417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具有应急预案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717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535"/>
          <w:jc w:val="center"/>
        </w:trPr>
        <w:tc>
          <w:tcPr>
            <w:tcW w:w="4887" w:type="dxa"/>
            <w:gridSpan w:val="3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评估内容</w:t>
            </w:r>
          </w:p>
        </w:tc>
        <w:tc>
          <w:tcPr>
            <w:tcW w:w="712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分值</w:t>
            </w:r>
          </w:p>
        </w:tc>
        <w:tc>
          <w:tcPr>
            <w:tcW w:w="3717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评估方法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和标准</w:t>
            </w:r>
          </w:p>
        </w:tc>
        <w:tc>
          <w:tcPr>
            <w:tcW w:w="68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结果</w:t>
            </w:r>
          </w:p>
        </w:tc>
      </w:tr>
      <w:tr w:rsidR="00B27C47" w:rsidTr="001B750C">
        <w:trPr>
          <w:trHeight w:val="479"/>
          <w:jc w:val="center"/>
        </w:trPr>
        <w:tc>
          <w:tcPr>
            <w:tcW w:w="100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大项</w:t>
            </w: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中项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小  项</w:t>
            </w:r>
          </w:p>
        </w:tc>
        <w:tc>
          <w:tcPr>
            <w:tcW w:w="712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717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066"/>
          <w:jc w:val="center"/>
        </w:trPr>
        <w:tc>
          <w:tcPr>
            <w:tcW w:w="100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2.制度建设和执行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（30分）</w:t>
            </w:r>
          </w:p>
        </w:tc>
        <w:tc>
          <w:tcPr>
            <w:tcW w:w="1065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2.2制度执行情况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各岗位工作人员能够熟悉掌握自身职责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通过随机访谈2名以上工作人员，了解工作人员对认定工作岗位职责熟悉情况，不熟悉或难以回答的不得分。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023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考务管理制度执行标准化，有迹可查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是否按照认定考试组织册的内容组织开展认定工作，留有原始资料，各环节责任人均签字留痕，发现问题不得分。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092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质量管控制度执行流程化，有迹可查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9"/>
                <w:sz w:val="21"/>
                <w:szCs w:val="21"/>
              </w:rPr>
              <w:t>是否按照质量管控制度流程化管理认定工作，严把考试质量关；对认定考试平均通过率在90%-95%的得5分，95%以上的不得分。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022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证书台账管理清晰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查看证书台账管理是否规范、清晰，证书赋码是否正确，没有建立证书台账或不规范的，不得分。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022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2.3认定过程情况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认定场所是否张贴认定考场布局图、考场规则等，考场秩序是否平稳有序。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实地查看认定场所布置情况，发现问题不得分。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715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监考人员是否履职尽责，考评员是否认真负责。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随机调取监控视频了解情况，发现问题不得分。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357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2.4认定考试收费情况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企业、技工院校自主认定不得收费，社会培训评价组织按照备案确定的价格收费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自主认定的企业、技工院校存在收费情况不得分；社会培训评价组织以认定名义抬高收费标准，或恶意竞争不合理的降低收费标准不得分。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037"/>
          <w:jc w:val="center"/>
        </w:trPr>
        <w:tc>
          <w:tcPr>
            <w:tcW w:w="100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3.题库开发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（15分）</w:t>
            </w: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3.1题库数量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题库数量是否满足认定工作需要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查看题库数量，各职业（工种）不同等级的理论试题数量至少500道、实操考核试题数量至少50道，否则不得分。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799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3.2题库质量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题库质量是否符合国家职业技能标准要求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随机抽查试题内容，不符合国家职业技能标准的不得分。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665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3.3题库开发能力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是否配备专业的题库开发专家团队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了解认定机构题库开发的专家人员情况，是否吸纳省内外高技能领军人才、具有相关专业高级职称的专技人员作为题库开发专家。未配备题库开发团队的不得分，超过1年未更新题库的不得分。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716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3.4试题质量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是否严格对照题库随机生成试题，满足认定考试要求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pacing w:val="-9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9"/>
                <w:sz w:val="21"/>
                <w:szCs w:val="21"/>
              </w:rPr>
              <w:t>是否对照题库随机组卷，试题内容是否区分不同职业、不同等级，发现问题的不得分。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507"/>
          <w:jc w:val="center"/>
        </w:trPr>
        <w:tc>
          <w:tcPr>
            <w:tcW w:w="4887" w:type="dxa"/>
            <w:gridSpan w:val="3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评估内容</w:t>
            </w:r>
          </w:p>
        </w:tc>
        <w:tc>
          <w:tcPr>
            <w:tcW w:w="712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分值</w:t>
            </w:r>
          </w:p>
        </w:tc>
        <w:tc>
          <w:tcPr>
            <w:tcW w:w="3717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评估方法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和标准</w:t>
            </w:r>
          </w:p>
        </w:tc>
        <w:tc>
          <w:tcPr>
            <w:tcW w:w="68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评估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结果</w:t>
            </w:r>
          </w:p>
        </w:tc>
      </w:tr>
      <w:tr w:rsidR="00B27C47" w:rsidTr="001B750C">
        <w:trPr>
          <w:trHeight w:val="549"/>
          <w:jc w:val="center"/>
        </w:trPr>
        <w:tc>
          <w:tcPr>
            <w:tcW w:w="100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大项</w:t>
            </w: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中项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小  项</w:t>
            </w:r>
          </w:p>
        </w:tc>
        <w:tc>
          <w:tcPr>
            <w:tcW w:w="712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717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pacing w:val="-9"/>
                <w:sz w:val="21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205"/>
          <w:jc w:val="center"/>
        </w:trPr>
        <w:tc>
          <w:tcPr>
            <w:tcW w:w="100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4.队伍建设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4.1考评员队伍建设情况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是否配备相适应的考评员队伍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现场查看考评员劳动合同、聘用合同或合作协议，未配备足够数量考评员的扣1分，伪造、作假的不得分。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443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4.2内部质量督导员队伍建设情况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内部质量督导员是否熟悉质量督导要求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通过随机访谈至少1名内部质量督导员，了解其对质量督导岗位职责的熟悉情况，发现问题的不得分。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240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4.3工作人员培训交流情况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工作人员队伍是否稳定，是否定期开展工作人员业务培训交流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查看认定工作人员业务培训、对外交流学习情况。从未开展工作人员业务培训或对外交流的不得分。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260"/>
          <w:jc w:val="center"/>
        </w:trPr>
        <w:tc>
          <w:tcPr>
            <w:tcW w:w="1008" w:type="dxa"/>
            <w:vMerge w:val="restart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5.档案资料管理情况</w:t>
            </w:r>
          </w:p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（15分）</w:t>
            </w: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5.1报考证明材料保存情况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考试申报认定考试的证明材料保存情况，报考条件符合国家职业标准。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现场查看纸质和电子材料，对3年内考生报名材料分类归档保存完好的得5分，保存不规范不得分。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302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5.2认定试卷资料保存情况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认定试卷、答题卡、实操评分表等资料保存情况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现场查看保密室、试卷回收室，3年内的试卷、答题卡、实操评分表等资料保存完好的得5分，发现问题的不得分。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7C47" w:rsidTr="001B750C">
        <w:trPr>
          <w:trHeight w:val="1450"/>
          <w:jc w:val="center"/>
        </w:trPr>
        <w:tc>
          <w:tcPr>
            <w:tcW w:w="1008" w:type="dxa"/>
            <w:vMerge/>
            <w:vAlign w:val="center"/>
          </w:tcPr>
          <w:p w:rsidR="00B27C47" w:rsidRDefault="00B27C47" w:rsidP="001B750C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5.3全过程视频录像保存情况</w:t>
            </w:r>
          </w:p>
        </w:tc>
        <w:tc>
          <w:tcPr>
            <w:tcW w:w="2814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认定全过程视频录像归档保存情况</w:t>
            </w:r>
          </w:p>
        </w:tc>
        <w:tc>
          <w:tcPr>
            <w:tcW w:w="712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717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3年内认定全过程视频录像分类归档保存完好的得5分，未分类归档保存的得2分，未保存的不得分。</w:t>
            </w:r>
          </w:p>
        </w:tc>
        <w:tc>
          <w:tcPr>
            <w:tcW w:w="688" w:type="dxa"/>
            <w:vAlign w:val="center"/>
          </w:tcPr>
          <w:p w:rsidR="00B27C47" w:rsidRDefault="00B27C47" w:rsidP="001B750C">
            <w:pPr>
              <w:snapToGrid w:val="0"/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27C47" w:rsidRDefault="00B27C47" w:rsidP="00B27C47">
      <w:pPr>
        <w:rPr>
          <w:rFonts w:hint="eastAsia"/>
        </w:rPr>
      </w:pPr>
    </w:p>
    <w:p w:rsidR="00B27C47" w:rsidRDefault="00B27C47" w:rsidP="00B27C47">
      <w:pPr>
        <w:rPr>
          <w:rFonts w:hint="eastAsia"/>
        </w:rPr>
      </w:pPr>
    </w:p>
    <w:p w:rsidR="00A0456A" w:rsidRPr="00B27C47" w:rsidRDefault="00A0456A">
      <w:bookmarkStart w:id="0" w:name="_GoBack"/>
      <w:bookmarkEnd w:id="0"/>
    </w:p>
    <w:sectPr w:rsidR="00A0456A" w:rsidRPr="00B2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E1" w:rsidRDefault="000E09E1" w:rsidP="00B27C47">
      <w:r>
        <w:separator/>
      </w:r>
    </w:p>
  </w:endnote>
  <w:endnote w:type="continuationSeparator" w:id="0">
    <w:p w:rsidR="000E09E1" w:rsidRDefault="000E09E1" w:rsidP="00B2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00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E1" w:rsidRDefault="000E09E1" w:rsidP="00B27C47">
      <w:r>
        <w:separator/>
      </w:r>
    </w:p>
  </w:footnote>
  <w:footnote w:type="continuationSeparator" w:id="0">
    <w:p w:rsidR="000E09E1" w:rsidRDefault="000E09E1" w:rsidP="00B2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E"/>
    <w:rsid w:val="000E09E1"/>
    <w:rsid w:val="00A0456A"/>
    <w:rsid w:val="00B27C47"/>
    <w:rsid w:val="00D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7B940-A4BB-461C-A51F-935F179E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4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Company>Home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2023-04-25T02:02:00Z</dcterms:created>
  <dcterms:modified xsi:type="dcterms:W3CDTF">2023-04-25T02:03:00Z</dcterms:modified>
</cp:coreProperties>
</file>